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4833761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  <w:bookmarkStart w:id="0" w:name="_GoBack"/>
      <w:bookmarkEnd w:id="0"/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b/>
          <w:sz w:val="24"/>
          <w:szCs w:val="24"/>
        </w:rPr>
        <w:t xml:space="preserve">Octava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40376" w:rsidRPr="00840376">
        <w:rPr>
          <w:rFonts w:ascii="Century Gothic" w:hAnsi="Century Gothic"/>
          <w:b/>
          <w:sz w:val="24"/>
          <w:szCs w:val="24"/>
        </w:rPr>
        <w:t>once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b/>
          <w:sz w:val="24"/>
          <w:szCs w:val="24"/>
        </w:rPr>
        <w:t xml:space="preserve">del dos de Julio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Aprobación de Sentencias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la recalendarización de Sesión Ordinarias 2020.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la propuesta del Plan Institucional de Archivo e Integración del Grupo Interdisciplinario que presenta el Director de Archivo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40376">
        <w:rPr>
          <w:rFonts w:ascii="Century Gothic" w:hAnsi="Century Gothic"/>
          <w:b/>
          <w:sz w:val="24"/>
          <w:szCs w:val="24"/>
        </w:rPr>
        <w:t xml:space="preserve">1 DE JULIO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48337617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40376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EA831C5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3277-99CF-482B-8573-3F525348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2020-06-30T22:30:00Z</dcterms:created>
  <dcterms:modified xsi:type="dcterms:W3CDTF">2020-06-30T22:42:00Z</dcterms:modified>
</cp:coreProperties>
</file>